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D38" w:rsidRDefault="00922D3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PPS23, FRUS, 1948, volume 1, part II, pages 510-529</w:t>
      </w:r>
    </w:p>
    <w:p w:rsidR="00922D38" w:rsidRDefault="00922D38">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George F. Kennan   -   Foreign Relations of the United States, 1948 (1976), Volume 1, Part 2, pp. 523-525</w:t>
      </w:r>
    </w:p>
    <w:p w:rsidR="00922D38" w:rsidRDefault="00922D38">
      <w:pPr>
        <w:widowControl w:val="0"/>
        <w:autoSpaceDE w:val="0"/>
        <w:autoSpaceDN w:val="0"/>
        <w:adjustRightInd w:val="0"/>
        <w:spacing w:after="0" w:line="240" w:lineRule="auto"/>
        <w:rPr>
          <w:rFonts w:ascii="Arial" w:hAnsi="Arial" w:cs="Arial"/>
          <w:sz w:val="12"/>
          <w:szCs w:val="12"/>
        </w:rPr>
      </w:pP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My main impression with regard to the position of this Government with regard to the Far East is that we are greatly over-extended in our whole thinking about what we can accomplish, and should try to accomplish, in that area. This applies, unfortunately, to the people in our country as well as to the Government.  It is urgently necessary that we recognize our own limitations as a moral and ideological force among the Asiatic peoples.</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Our political philosophy and our patterns for living have very little applicability to masses of people in Asia. They may be all right for us, with our highly developed political traditions running back into the centuries and with our peculiarly favorable geographic position; but they are simply not practical or helpful, today, for most of the people in Asia.</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being the case, we must be very careful when we speak of exercising "leadership" in Asia. We are deceiving ourselves and others when we pretend to have the answers to the problems which agitate many of these Asiatic peoples.  Furthermore, we have about 50% </w:t>
      </w:r>
      <w:r w:rsidRPr="00715EAC">
        <w:rPr>
          <w:rStyle w:val="FootnoteReference"/>
        </w:rPr>
        <w:footnoteReference w:id="1"/>
      </w:r>
      <w:r>
        <w:rPr>
          <w:rFonts w:ascii="Arial" w:hAnsi="Arial" w:cs="Arial"/>
          <w:sz w:val="20"/>
          <w:szCs w:val="20"/>
        </w:rPr>
        <w:t>of the world's wealth but only 6.3% of its population. This disparity is particularly great as between ourselves and the peoples of Asia. In this situation, we cannot fail to be the object of envy and resentment.</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Our real task in the coming period is to devise a pattern of relationships which will permit us to maintain this position of disparity without positive detriment to our national security. To do so, we will have to dispense with all sentimentality and day-dreaming; and our attention will have to be concentrated everywhere on our immediate national objectives. We need not deceive ourselves that we can afford today the luxury of altruism and world-benefaction.    . . .</w:t>
      </w:r>
    </w:p>
    <w:p w:rsidR="00922D38" w:rsidRDefault="00922D38">
      <w:pPr>
        <w:widowControl w:val="0"/>
        <w:autoSpaceDE w:val="0"/>
        <w:autoSpaceDN w:val="0"/>
        <w:adjustRightInd w:val="0"/>
        <w:spacing w:after="0" w:line="240" w:lineRule="auto"/>
        <w:rPr>
          <w:rFonts w:ascii="Arial" w:hAnsi="Arial" w:cs="Arial"/>
          <w:sz w:val="12"/>
          <w:szCs w:val="12"/>
        </w:rPr>
      </w:pPr>
    </w:p>
    <w:p w:rsidR="00922D38" w:rsidRDefault="00922D38">
      <w:pPr>
        <w:widowControl w:val="0"/>
        <w:autoSpaceDE w:val="0"/>
        <w:autoSpaceDN w:val="0"/>
        <w:adjustRightInd w:val="0"/>
        <w:spacing w:after="0" w:line="240" w:lineRule="auto"/>
        <w:rPr>
          <w:rFonts w:ascii="Arial" w:hAnsi="Arial" w:cs="Arial"/>
          <w:sz w:val="12"/>
          <w:szCs w:val="12"/>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peoples of Asia and of the Pacific area are going to go ahead, whatever we do, with the development of their political forms and mutual interrelationships in their own way. This process cannot be a liberal or peaceful one.    . . .   All of the Asiatic peoples are faced with the necessity for evolving new forms of life   . . .   This process   . . .   will   . . .   be long and violent. It is not only possible, but probable, that in the course of this process many peoples will fall, for varying periods, under the influence of Moscow  . . .   All this  . . .   is probably unavoidable; and we could not hope to combat it without the diversion of a far greater portion of our national effort than our people would ever willingly concede to such a purpose.   . . .</w:t>
      </w: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should dispense with the aspiration to "be liked" or to be regarded as the repository of a high-minded international altruism. </w:t>
      </w:r>
      <w:r w:rsidRPr="00715EAC">
        <w:rPr>
          <w:rStyle w:val="FootnoteReference"/>
        </w:rPr>
        <w:footnoteReference w:id="2"/>
      </w:r>
      <w:r>
        <w:rPr>
          <w:rFonts w:ascii="Arial" w:hAnsi="Arial" w:cs="Arial"/>
          <w:sz w:val="20"/>
          <w:szCs w:val="20"/>
        </w:rPr>
        <w:t xml:space="preserve">  We should stop putting ourselves in the position of being our brothers' keeper and refrain from offering moral and ideological advice.</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 should cease to talk about vague and -- for the Far East -- unreal objectives such as human rights, the raising of the living standards, and democratization. The day is not far off when we are going to have to deal in straight power concepts. The less we are then hampered by idealistic slogans, the better.  </w:t>
      </w:r>
      <w:r w:rsidRPr="00715EAC">
        <w:rPr>
          <w:rStyle w:val="FootnoteReference"/>
        </w:rPr>
        <w:footnoteReference w:id="3"/>
      </w:r>
      <w:r>
        <w:rPr>
          <w:rFonts w:ascii="Arial" w:hAnsi="Arial" w:cs="Arial"/>
          <w:sz w:val="20"/>
          <w:szCs w:val="20"/>
        </w:rPr>
        <w:t xml:space="preserve">    . . .</w:t>
      </w:r>
    </w:p>
    <w:p w:rsidR="00922D38" w:rsidRDefault="00922D38">
      <w:pPr>
        <w:widowControl w:val="0"/>
        <w:autoSpaceDE w:val="0"/>
        <w:autoSpaceDN w:val="0"/>
        <w:adjustRightInd w:val="0"/>
        <w:spacing w:after="0" w:line="240" w:lineRule="auto"/>
        <w:rPr>
          <w:rFonts w:ascii="Arial" w:hAnsi="Arial" w:cs="Arial"/>
          <w:sz w:val="10"/>
          <w:szCs w:val="10"/>
        </w:rPr>
      </w:pPr>
    </w:p>
    <w:p w:rsidR="00922D38" w:rsidRDefault="00922D38">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Times New Roman" w:hAnsi="Times New Roman" w:cs="Times New Roman"/>
          <w:sz w:val="20"/>
          <w:szCs w:val="20"/>
        </w:rPr>
        <w:tab/>
        <w:t>--- http://www.swans.com/library/art11/ga192.html</w:t>
      </w:r>
    </w:p>
    <w:p w:rsidR="00922D38" w:rsidRDefault="00922D3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lastRenderedPageBreak/>
        <w:t>Beyond Good and Evil   -   What is Noble?</w:t>
      </w:r>
    </w:p>
    <w:p w:rsidR="00922D38" w:rsidRDefault="00922D38">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Friedrich Nietzsche</w:t>
      </w:r>
    </w:p>
    <w:p w:rsidR="00922D38" w:rsidRDefault="00922D38">
      <w:pPr>
        <w:widowControl w:val="0"/>
        <w:autoSpaceDE w:val="0"/>
        <w:autoSpaceDN w:val="0"/>
        <w:adjustRightInd w:val="0"/>
        <w:spacing w:after="0" w:line="240" w:lineRule="auto"/>
        <w:rPr>
          <w:rFonts w:ascii="Arial" w:hAnsi="Arial" w:cs="Arial"/>
          <w:sz w:val="12"/>
          <w:szCs w:val="12"/>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Here it is expedient to break off my festal discourse and my sprightly Teutonomania for I have already reached my SERIOUS TOPIC, the "European problem," as I understand it, the rearing of a new ruling caste for Europe.</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They are not a philosophical race — the English: Bacon represents an ATTACK on the philosophical spirit generally, Hobbes, Hume, and Locke, an abasement, and a depreciation of the idea of a "philosopher" for more than a century. It was AGAINST Hume that Kant uprose and raised himself; it was Locke of whom Schelling RIGHTLY said, "JE MEPRISE LOCKE"; in the struggle against the English mechanical stultification of the world, Hegel and Schopenhauer (along with Goethe) were of one accord; the two hostile brother-geniuses in philosophy, who pushed in different directions towards the opposite poles of German thought, and thereby wronged each other as only brothers will do. — </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is lacking in England, and has always been lacking, that half-actor and rhetorician knew well enough, the absurd muddle-head, Carlyle, who sought to conceal under passionate grimaces what he knew about himself: namely, what was LACKING in Carlyle — real POWER of intellect, real DEPTH of intellectual perception, in short, philosophy. It is characteristic of such an unphilosophical race to hold on firmly to Christianity — they NEED its discipline for "moralizing" and humanizing. The Englishman, more gloomy, sensual, headstrong, and brutal than the German — is for that very reason, as the baser of the two, also the most pious: he has all the MORE NEED of Christianity.</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 finer nostrils, this English Christianity itself has still a characteristic English taint of spleen and alcoholic excess, for which, owing to good reasons, it is used as an antidote — the finer poison to neutralize the coarser: a finer form of poisoning is in fact a step in advance with coarse-mannered people, a step towards spiritualization. The English coarseness and rustic demureness is still most satisfactorily disguised by Christian pantomime, and by praying and psalm-singing (or, more correctly, it is thereby explained and differently expressed); and for the herd of drunkards and rakes who formerly learned moral grunting under the influence of Methodism (and more recently as the "Salvation Army"), a penitential fit may really be the relatively highest manifestation of "humanity" to which they can be elevated: so much may reasonably be admitted. That, however, which offends even in the humanest Englishman is his lack of music, to speak figuratively (and also literally): he has neither rhythm nor dance in the movements of his soul and body; indeed, not even the desire for rhythm and dance, for "music." Listen to him speaking; look at the most beautiful Englishwoman WALKING — in no country on earth are there more beautiful doves and swans; finally, listen to them singing! But I ask too much... </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are truths which are best recognized by mediocre minds, because they are best adapted for them, there are truths which only possess charms and seductive power for mediocre spirits: — one is pushed to this probably unpleasant conclusion, now that the influence of respectable but mediocre Englishmen — I may mention Darwin, John Stuart Mill, and Herbert Spencer — begins to gain the ascendancy in the middle-class region of European taste. Indeed, who could doubt that it is a useful thing for SUCH minds to have the ascendancy for a time? It would be an error to consider the highly developed and independently soaring minds as specially qualified for determining and collecting many little common facts, and deducing conclusions from them; as exceptions, they are rather from the first in no very favourable position towards those who are "the rules." After all, they have more to do than merely to perceive: — in effect, they have to BE something new, they have to SIGNIFY something new, they have to REPRESENT new values! The gulf between knowledge and capacity is perhaps greater, and also more mysterious, than one thinks: the capable man in the grand style, the creator, will possibly have to be an ignorant person;—while on the other hand, for scientific discoveries like those of Darwin, a certain narrowness, aridity, and industrious carefulness (in short, something English) may not be unfavourable for arriving at them.</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—Finally, let it not be forgotten that the English, with their profound mediocrity, brought about once before a general depression of European intelligence. What is called "modern ideas," or "the ideas </w:t>
      </w:r>
      <w:r>
        <w:rPr>
          <w:rFonts w:ascii="Arial" w:hAnsi="Arial" w:cs="Arial"/>
          <w:sz w:val="20"/>
          <w:szCs w:val="20"/>
        </w:rPr>
        <w:lastRenderedPageBreak/>
        <w:t xml:space="preserve">of the eighteenth century," or "French ideas" — that, consequently, against which the GERMAN mind rose up with profound disgust — is of English origin, there is no doubt about it. </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French were only the apes and actors of these ideas, their best soldiers, and likewise, alas! their first and profoundest VICTIMS; for owing to the diabolical Anglomania of "modern ideas," the AME FRANCAIS has in the end become so thin and emaciated, that at present one recalls its sixteenth and seventeenth centuries, its profound, passionate strength, its inventive excellency, almost with disbelief.</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One must, however, maintain this verdict of historical justice in a determined manner, and defend it against present prejudices and appearances: the European NOBLESSE — of sentiment, taste, and manners, taking the word in every high sense — is the work and invention of FRANCE; the European ignobleness, the plebeianism of modern ideas — is ENGLAND'S work and invention. </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at present France is still the seat of the most intellectual and refined culture of Europe, it is still the high school of taste; but one must know how to find this "France of taste." He who belongs to it keeps himself well concealed: — they may be a small number in whom it lives and is embodied, besides perhaps being men who do not stand upon the strongest legs, in part fatalists, hypochondriacs, invalids, in part persons over-indulged, over-refined, such as have the AMBITION to conceal themselves. They have all something in common: they keep their ears closed in presence of the delirious folly and noisy spouting of the democratic BOURGEOIS. In fact, a besotted and brutalized France at present sprawls in the foreground   . . .   There is also something else common to them: a predilection to resist intellectual Germanizing — and a still greater inability to do so!    . . .</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---http://www.egs.edu/library/friedrich-nietzsche/articles/beyond-good-and-evil/chapter-viii-peoples-and-countries/</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Times New Roman" w:hAnsi="Times New Roman" w:cs="Times New Roman"/>
          <w:sz w:val="24"/>
          <w:szCs w:val="24"/>
        </w:rPr>
      </w:pPr>
    </w:p>
    <w:p w:rsidR="00922D38" w:rsidRDefault="00922D38">
      <w:pPr>
        <w:widowControl w:val="0"/>
        <w:autoSpaceDE w:val="0"/>
        <w:autoSpaceDN w:val="0"/>
        <w:adjustRightInd w:val="0"/>
        <w:spacing w:after="0" w:line="240" w:lineRule="auto"/>
        <w:rPr>
          <w:rFonts w:ascii="Times New Roman" w:hAnsi="Times New Roman" w:cs="Times New Roman"/>
          <w:sz w:val="24"/>
          <w:szCs w:val="24"/>
        </w:rPr>
      </w:pPr>
    </w:p>
    <w:p w:rsidR="00922D38" w:rsidRDefault="00922D38">
      <w:pPr>
        <w:widowControl w:val="0"/>
        <w:autoSpaceDE w:val="0"/>
        <w:autoSpaceDN w:val="0"/>
        <w:adjustRightInd w:val="0"/>
        <w:spacing w:after="0" w:line="240" w:lineRule="auto"/>
        <w:rPr>
          <w:rFonts w:ascii="Times New Roman" w:hAnsi="Times New Roman" w:cs="Times New Roman"/>
          <w:sz w:val="24"/>
          <w:szCs w:val="24"/>
        </w:rPr>
      </w:pPr>
    </w:p>
    <w:p w:rsidR="00922D38" w:rsidRDefault="00922D38">
      <w:pPr>
        <w:widowControl w:val="0"/>
        <w:autoSpaceDE w:val="0"/>
        <w:autoSpaceDN w:val="0"/>
        <w:adjustRightInd w:val="0"/>
        <w:spacing w:after="0" w:line="240" w:lineRule="auto"/>
        <w:rPr>
          <w:rFonts w:ascii="Times New Roman" w:hAnsi="Times New Roman" w:cs="Times New Roman"/>
          <w:sz w:val="24"/>
          <w:szCs w:val="24"/>
        </w:rPr>
      </w:pPr>
    </w:p>
    <w:p w:rsidR="00922D38" w:rsidRDefault="00922D38">
      <w:pPr>
        <w:widowControl w:val="0"/>
        <w:autoSpaceDE w:val="0"/>
        <w:autoSpaceDN w:val="0"/>
        <w:adjustRightInd w:val="0"/>
        <w:spacing w:after="0" w:line="240" w:lineRule="auto"/>
        <w:rPr>
          <w:rFonts w:ascii="Times New Roman" w:hAnsi="Times New Roman" w:cs="Times New Roman"/>
          <w:sz w:val="24"/>
          <w:szCs w:val="24"/>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Times New Roman" w:hAnsi="Times New Roman" w:cs="Times New Roman"/>
          <w:sz w:val="20"/>
          <w:szCs w:val="20"/>
        </w:rPr>
      </w:pPr>
    </w:p>
    <w:p w:rsidR="00922D38" w:rsidRDefault="00922D38">
      <w:pPr>
        <w:widowControl w:val="0"/>
        <w:autoSpaceDE w:val="0"/>
        <w:autoSpaceDN w:val="0"/>
        <w:adjustRightInd w:val="0"/>
        <w:spacing w:after="0" w:line="240" w:lineRule="auto"/>
        <w:rPr>
          <w:rFonts w:ascii="Times New Roman" w:hAnsi="Times New Roman" w:cs="Times New Roman"/>
          <w:sz w:val="20"/>
          <w:szCs w:val="20"/>
        </w:rPr>
      </w:pPr>
    </w:p>
    <w:p w:rsidR="00922D38" w:rsidRDefault="00922D3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Libyan Rebels Feel the Heat of NATO's Swan Song</w:t>
      </w:r>
    </w:p>
    <w:p w:rsidR="00922D38" w:rsidRDefault="00922D38">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Kanya D'Almeida     -     IPS    -     May 4, 2011</w:t>
      </w: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European military prowess has withered in the last two decades, resulting in a NATO that, without U.S. buttressing, is unlikely to see the kind of success the Libyan opposition hoped for.   . . .  The Center for International and Strategic Studies (CSIS) also did some serious crunching of defence stats last year and found that over the last decade, the disparity between European and U.S. defence budgets grew wider every year.    . . .</w:t>
      </w: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Washington Post columnist Anne Applebaum, echoing the words of defence officials and senior defence analysts in Washington, said last month, "In truth, the Libyan expedition [[has always been]] an Anglo-French project [[and]] if this historically unreliable coalition proves unable to sustain a long-term operation, what then?" "The use of NATO's name, in Libya, is a fiction," she added. "But the weakening of NATO's reputation in Libya might become horribly real."    . . .</w:t>
      </w: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perseverance of Gaddafi's forces against an assault by the historically insurmountable alliance suggests that, absent a steady flow from the U.S. armory, not only European defence policy but also NATO itself could sing its swan song in the North African country.     . . .   The events of the last month suggest that 'Operation Unified Protector' is crumbling    . . .    The rebels in Libya are feeling the heat of NATO's deterioration.</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General Abdel Fatah Younis, head of the rebel army, expressed deep frustration with the sporadic intervention, saying on Apr. 5, "Misurata is being subjected to a full extermination. NATO blesses us every now and then with a bombardment here and there [[but is otherwise]] letting [[our]] people die every day – NATO has disappointed us."</w:t>
      </w:r>
    </w:p>
    <w:p w:rsidR="00922D38" w:rsidRDefault="00922D38">
      <w:pPr>
        <w:widowControl w:val="0"/>
        <w:autoSpaceDE w:val="0"/>
        <w:autoSpaceDN w:val="0"/>
        <w:adjustRightInd w:val="0"/>
        <w:spacing w:after="0" w:line="240" w:lineRule="auto"/>
        <w:rPr>
          <w:rFonts w:ascii="Times New Roman" w:hAnsi="Times New Roman" w:cs="Times New Roman"/>
          <w:sz w:val="12"/>
          <w:szCs w:val="12"/>
        </w:rPr>
      </w:pPr>
    </w:p>
    <w:p w:rsidR="00922D38" w:rsidRDefault="00922D3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http://ipsnews.net/news.asp?idnews=55495</w:t>
      </w:r>
    </w:p>
    <w:p w:rsidR="00922D38" w:rsidRDefault="00922D38">
      <w:pPr>
        <w:widowControl w:val="0"/>
        <w:autoSpaceDE w:val="0"/>
        <w:autoSpaceDN w:val="0"/>
        <w:adjustRightInd w:val="0"/>
        <w:spacing w:after="0" w:line="240" w:lineRule="auto"/>
        <w:rPr>
          <w:rFonts w:ascii="Times New Roman" w:hAnsi="Times New Roman" w:cs="Times New Roman"/>
          <w:sz w:val="24"/>
          <w:szCs w:val="24"/>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Stop talking about strategy until you know what it is</w:t>
      </w: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Bernard Jenkin    -    Oct. 29, 2010</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
    <w:p w:rsidR="00922D38" w:rsidRDefault="00922D38">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For all the new government’s efforts, a lack of strategic coherence is apparent in both the new National Security Strategy (NSS) and in the Strategic Defence and Security Review (SDSR).    . . .    The prime minister in his foreword to SDSR rightly points out that   . . .   he believes that defence is less important than deficit reduction.    . . .</w:t>
      </w: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chancellor confirmed this in his statement to parliament on the Comprehensive Spending Review    . . .    Either the government’s language wants people to believe what is not actually the case, or the principles at the heart of NSS, SDSR and CSR are fundamentally confused.     . . .</w:t>
      </w: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term ‘strategy’    . . .    derives from strategia, the function of a strategos, the Greek for general. Strategia is the general’s office and by extension the skill of generalship and therefore of waging war, including both the military and the political dimensions.   . . .</w:t>
      </w: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Whitehall has    . . .   different departments thinking about strategy in different ways   . . .    The Chief of Defence Staff Sir Jock Stirrup warned that the UK has ‘lost an institutionalised capacity for and culture of strategic thought’.   . . .</w:t>
      </w: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We have failed to maintain the education of strategic thinkers, both in academia and in governmental institutions, so that the UK now lacks a body of knowledge on strategy.   . . .</w:t>
      </w: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National strategy needs to look beyond security, and inform the whole workings of government.</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achieve this, the PASC report recommends that the government should promote a culture of strategic thinking across Whitehall, led by a community of strategic thinkers   . . .</w:t>
      </w:r>
    </w:p>
    <w:p w:rsidR="00922D38" w:rsidRDefault="00922D38">
      <w:pPr>
        <w:widowControl w:val="0"/>
        <w:autoSpaceDE w:val="0"/>
        <w:autoSpaceDN w:val="0"/>
        <w:adjustRightInd w:val="0"/>
        <w:spacing w:after="0" w:line="240" w:lineRule="auto"/>
        <w:rPr>
          <w:rFonts w:ascii="Arial" w:hAnsi="Arial" w:cs="Arial"/>
          <w:sz w:val="8"/>
          <w:szCs w:val="8"/>
        </w:rPr>
      </w:pPr>
    </w:p>
    <w:p w:rsidR="00922D38" w:rsidRDefault="00922D38">
      <w:pPr>
        <w:widowControl w:val="0"/>
        <w:autoSpaceDE w:val="0"/>
        <w:autoSpaceDN w:val="0"/>
        <w:adjustRightInd w:val="0"/>
        <w:spacing w:after="0" w:line="240" w:lineRule="auto"/>
        <w:rPr>
          <w:rFonts w:ascii="Arial" w:hAnsi="Arial" w:cs="Arial"/>
          <w:sz w:val="8"/>
          <w:szCs w:val="8"/>
        </w:rPr>
      </w:pPr>
    </w:p>
    <w:p w:rsidR="00922D38" w:rsidRDefault="00922D38">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http://www.parliamentarybrief.com/2010/10/stop-talking-about-strategy-until-you-know-what-it-is</w:t>
      </w:r>
    </w:p>
    <w:p w:rsidR="00922D38" w:rsidRDefault="00922D38">
      <w:pPr>
        <w:widowControl w:val="0"/>
        <w:autoSpaceDE w:val="0"/>
        <w:autoSpaceDN w:val="0"/>
        <w:adjustRightInd w:val="0"/>
        <w:spacing w:after="0" w:line="240" w:lineRule="auto"/>
        <w:rPr>
          <w:rFonts w:ascii="Times New Roman" w:hAnsi="Times New Roman" w:cs="Times New Roman"/>
          <w:sz w:val="24"/>
          <w:szCs w:val="24"/>
        </w:rPr>
      </w:pPr>
    </w:p>
    <w:p w:rsidR="00922D38" w:rsidRDefault="00922D38">
      <w:pPr>
        <w:widowControl w:val="0"/>
        <w:autoSpaceDE w:val="0"/>
        <w:autoSpaceDN w:val="0"/>
        <w:adjustRightInd w:val="0"/>
        <w:spacing w:after="0" w:line="240" w:lineRule="auto"/>
        <w:rPr>
          <w:rFonts w:ascii="Times New Roman" w:hAnsi="Times New Roman" w:cs="Times New Roman"/>
          <w:sz w:val="24"/>
          <w:szCs w:val="24"/>
        </w:rPr>
      </w:pPr>
    </w:p>
    <w:p w:rsidR="00922D38" w:rsidRDefault="00922D38">
      <w:pPr>
        <w:widowControl w:val="0"/>
        <w:autoSpaceDE w:val="0"/>
        <w:autoSpaceDN w:val="0"/>
        <w:adjustRightInd w:val="0"/>
        <w:spacing w:after="0" w:line="240" w:lineRule="auto"/>
        <w:rPr>
          <w:rFonts w:ascii="Times New Roman" w:hAnsi="Times New Roman" w:cs="Times New Roman"/>
          <w:sz w:val="24"/>
          <w:szCs w:val="24"/>
        </w:rPr>
      </w:pPr>
    </w:p>
    <w:p w:rsidR="00922D38" w:rsidRDefault="00922D38">
      <w:pPr>
        <w:widowControl w:val="0"/>
        <w:autoSpaceDE w:val="0"/>
        <w:autoSpaceDN w:val="0"/>
        <w:adjustRightInd w:val="0"/>
        <w:spacing w:after="0" w:line="240" w:lineRule="auto"/>
        <w:rPr>
          <w:rFonts w:ascii="Times New Roman" w:hAnsi="Times New Roman" w:cs="Times New Roman"/>
          <w:sz w:val="24"/>
          <w:szCs w:val="24"/>
        </w:rPr>
      </w:pPr>
    </w:p>
    <w:p w:rsidR="00922D38" w:rsidRDefault="00922D38">
      <w:pPr>
        <w:widowControl w:val="0"/>
        <w:autoSpaceDE w:val="0"/>
        <w:autoSpaceDN w:val="0"/>
        <w:adjustRightInd w:val="0"/>
        <w:spacing w:after="0" w:line="240" w:lineRule="auto"/>
        <w:rPr>
          <w:rFonts w:ascii="Times New Roman" w:hAnsi="Times New Roman" w:cs="Times New Roman"/>
          <w:sz w:val="24"/>
          <w:szCs w:val="24"/>
        </w:rPr>
      </w:pPr>
    </w:p>
    <w:p w:rsidR="00922D38" w:rsidRDefault="00922D38">
      <w:pPr>
        <w:widowControl w:val="0"/>
        <w:autoSpaceDE w:val="0"/>
        <w:autoSpaceDN w:val="0"/>
        <w:adjustRightInd w:val="0"/>
        <w:spacing w:after="0" w:line="240" w:lineRule="auto"/>
        <w:rPr>
          <w:rFonts w:ascii="Times New Roman" w:hAnsi="Times New Roman" w:cs="Times New Roman"/>
          <w:sz w:val="24"/>
          <w:szCs w:val="24"/>
        </w:rPr>
      </w:pPr>
    </w:p>
    <w:p w:rsidR="00922D38" w:rsidRDefault="00922D38">
      <w:pPr>
        <w:widowControl w:val="0"/>
        <w:autoSpaceDE w:val="0"/>
        <w:autoSpaceDN w:val="0"/>
        <w:adjustRightInd w:val="0"/>
        <w:spacing w:after="0" w:line="240" w:lineRule="auto"/>
        <w:rPr>
          <w:rFonts w:ascii="Times New Roman" w:hAnsi="Times New Roman" w:cs="Times New Roman"/>
          <w:sz w:val="24"/>
          <w:szCs w:val="24"/>
        </w:rPr>
      </w:pPr>
    </w:p>
    <w:p w:rsidR="00922D38" w:rsidRDefault="00922D38">
      <w:pPr>
        <w:widowControl w:val="0"/>
        <w:autoSpaceDE w:val="0"/>
        <w:autoSpaceDN w:val="0"/>
        <w:adjustRightInd w:val="0"/>
        <w:spacing w:after="0" w:line="240" w:lineRule="auto"/>
        <w:rPr>
          <w:rFonts w:ascii="Times New Roman" w:hAnsi="Times New Roman" w:cs="Times New Roman"/>
          <w:sz w:val="24"/>
          <w:szCs w:val="24"/>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Christian philosophy has, like the Hebrew, uniformly attributed moral and physical evil to the action of created free will. Man has himself brought about the evil from which he suffers by transgressing the law of God, on obedience to which his happiness depended. Evil is in created things under the aspect of mutability, and possibility of defect, not as existing per se : and the errors of mankind, mistaking the true conditions of its own well-being, have been the cause of moral and physical evil (Dion. Areop., De Div. Nom., iv, 31; St. Aug., De Civ. Dei. xii).</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evil from which man suffers is, however, the condition of good, for the sake of which it is permitted. Thus, "God judged it better to bring good out of evil than to suffer no evil to exist" (St. Aug., Enchirid., xxvii). Evil contributes to the perfection of the universe, as shadows to the perfection of a picture, or harmony to that of music (De Civ. Dei,xi).</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Again, the excellence of God's works in nature is insisted on as evidence of the Divine wisdom, power, and goodness, by which no evil can be directly caused. (Greg. Nyss., De. opif. hom.) Thus Boethius asks (De Consol. Phil., I, iv) Who can be the author of good, if God is the author of evil? As darkness is nothing but the absence of light, and is not produced by creation, so evil is merely the defect of goodness. (St. Aug., In Gen. as lit.)</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 Basil (Hexaem., Hom. ii) points out the educative purposes served by evil; and St. Augustine, holding evil to be permitted for the punishment of the wicked and the trial of the good, shows that it has, under this aspect, the nature of good, and is pleasing to God, not because of what it is, but because of where it is; i.e. as the penal and just consequence of sin (De Civ. Dei, XI, xii, De Vera Relig. xliv). Lactantius uses similar arguments to oppose the dilemma, as to the omnipotence and goodness of God, which he puts into the mouth of Epicurus (De Ira Dei, xiii). St. Anselm (Monologium) connects evil with the partial manifestation of good by creation; its fullness being in God alone.</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Catholic Encyclopedia &gt; E &gt; Evil CD-ROM</w:t>
      </w:r>
    </w:p>
    <w:p w:rsidR="00922D38" w:rsidRDefault="00922D38">
      <w:pPr>
        <w:widowControl w:val="0"/>
        <w:autoSpaceDE w:val="0"/>
        <w:autoSpaceDN w:val="0"/>
        <w:adjustRightInd w:val="0"/>
        <w:spacing w:after="0" w:line="240" w:lineRule="auto"/>
        <w:rPr>
          <w:rFonts w:ascii="Times New Roman" w:hAnsi="Times New Roman" w:cs="Times New Roman"/>
          <w:sz w:val="24"/>
          <w:szCs w:val="24"/>
        </w:rPr>
      </w:pPr>
    </w:p>
    <w:p w:rsidR="00922D38" w:rsidRDefault="00922D38">
      <w:pPr>
        <w:widowControl w:val="0"/>
        <w:autoSpaceDE w:val="0"/>
        <w:autoSpaceDN w:val="0"/>
        <w:adjustRightInd w:val="0"/>
        <w:spacing w:after="0" w:line="240" w:lineRule="auto"/>
        <w:rPr>
          <w:rFonts w:ascii="Times New Roman" w:hAnsi="Times New Roman" w:cs="Times New Roman"/>
          <w:sz w:val="24"/>
          <w:szCs w:val="24"/>
        </w:rPr>
      </w:pPr>
    </w:p>
    <w:p w:rsidR="00922D38" w:rsidRDefault="00922D38">
      <w:pPr>
        <w:widowControl w:val="0"/>
        <w:autoSpaceDE w:val="0"/>
        <w:autoSpaceDN w:val="0"/>
        <w:adjustRightInd w:val="0"/>
        <w:spacing w:after="0" w:line="240" w:lineRule="auto"/>
        <w:rPr>
          <w:rFonts w:ascii="Times New Roman" w:hAnsi="Times New Roman" w:cs="Times New Roman"/>
          <w:sz w:val="24"/>
          <w:szCs w:val="24"/>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AU report cites mass graves, cannibalism in South Sudan</w:t>
      </w: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Jason Patinkin    -    AP   -   Oct. 28, 2015</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African Union investigators discovered mass graves in South Sudan and found evidence of horrific crimes, including forcing civilians to eat human flesh, according to a report released late Tuesday. President Salva Kiir's faction in the conflict is also accused of recruiting an irregular tribal force before the outbreak of war in December 2013.</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report released late Tuesday also disputes that there was a coup attempt in December 2013 by former Vice President Riek Machar. Government troops carried out organized killings of members of the ethnic Nuer in Juba, the capital, the report said. When violence broke out, Machar, a Nuer, became a rebel leader. He and Kiir, an ethnic Dinka, recently signed a peace agreement.</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African Union investigators, led by former Nigerian President Olusegun Obasanjo, found that the conflict began on Dec. 15, 2013, as a skirmish broke out between Dinka and Nuer soldiers of the presidential guard following political tension between Kiir and Machar, who had been fired as Kiir's deputy the previous July. The report was scheduled for release months ago but its release was delayed by the African Union's Peace and Security Council.</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Hundreds of Nuer men were rounded up and shot, and mass graves were discovered. Perpetrators — described as government forces or their allies — allegedly tortured their victims, including by forcing them to jump in fires or eat human flesh, according to the report.</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killings were "an organized military operation that could not have been successful without concerted efforts from various actors in the military and government circles," the report said. "Roadblocks or checkpoints were established all around Juba and house to house searches were undertaken by security forces. During this operation male Nuers were targeted, identified, killed on the spot or gathered in one place and killed."</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report said Minister of Defense Kuol Manyang Juuk described a shadowy "group (that had) organized itself as Rescue the President. It killed [the] most people here (in Juba) — from 15th to 18th. It was even more powerful than [the] organized forces."</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group comprised some Dinka soldiers who had been mobilized following a 2012 border crisis with northern neighbor Sudan. Some of these soldiers were moved south to Kiir's private farm near Juba in 2013 and later participated in the killings, the report said, citing interviews with informants.</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Amid the Juba killings, Machar fled the capital and mobilized an insurgency which committed revenge attacks against the Dinka, sparking a cycle of violence in Bor, Malakal, and Bentiu towns which also included rape and murder of people in churches and hospitals, according to the report. Those revenge attacks occurred so quickly [that] they were also likely coordinated, it added. Kiir and Machar signed a peace agreement in August but fighting continues.</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---http://news.yahoo.com/au-report-cites-mass-graves-cannibalism-south-sudan-092242033.html</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AU: Coordinated mass killings by Kiir allies inflamed civil war South Sudan</w:t>
      </w: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Radio Dabanga    -    Oct. 28 -  2015</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civil war in South Sudan was inflamed by a coordinated and possibly planned attack by state officials supporting president Salva Kiir. There is no evidence of a coup attempt by the opposition. Irregular state forces disguised as “street cleaners” allegedly already scouted areas of Juba in the weeks before the massacres. This can be concluded from the African Union Commission of Inquiry that released on Tuesday a comprehensive report on the start of the South Sudan civil war December 16, 2013.</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Radio Tamazuj reports that the AU inquiry commission details numerous accounts of systematic murders, rapes, torture and other atrocities including alleged cases of forced cannibalism perpetrated by members of the South Sudan army and security forces. (https://radiotamazuj.org/en/article/au-juba-mass-killings-were-state-policy-coordinated)</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African Union investigation found that the killings in Juba were coordinated and possibly also planned, inflaming a war killing tens of thousands and uprooting over 1,5 million people. The investigators found no evidence of a coup attempt by the former vice president, Riek Machar who responded with an armed opposition. The claim of a coup by President Salva Kiir to justify widespread violence against mainly the Nuer could not be supported and the AU instead concluded that a gunfight within the Presidential Guards was the immediate trigger for further violence. In this fight “Dinka members of the Presidential guard and other security forces targeted Nuer soldiers and civilians... killing Nuer soldiers and civilians in and near their homes.” President Salva Kiir is a member of the Dinka-tribe, while his rival Riek Machar is from the Nuer.</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“House to house searches were undertaken by security forces. During this operation male Nuers were targeted, identified, killed on the spot or gathered in one place and killed,” states the Commission report.</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the African Union report, there were at least two large massacres perpetrated in Juba, including one at the so-called 'J2 palace' adjacent to the Presidential palace  and another at the Gudele Joint Operation Centre, a police station.</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AU report identifies the four operational sector commanders as General Salva Mathok for Amarat neighborhood, General Bol Akot for Gudele and Mia Saba neighborhoods, General Garang Mabir for Mangaten and General Marial Chanuong for Khor William. Salva Mathok is a relative of Salva Kiir and Marial Chanuong is the head of Kiir's presidential guards. Bol Akot has been identified in previous reports as a “civilian” who led militia at the time of the massacres and whom Kiir later gave a senior rank in the army.</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violence was organized'</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AU report goes on to quote the Minister of Defense Kuol Manyang as saying that a militia loyal to Salva Kiir known as Rescue the President (Dut Ku Beny in Dinka) “killed most people here [in Juba] — from 15th to 18th.” This refers to a force that other witnesses describe as Kiir's “personal army”, which he allegedly recruited and based at his private farm at Luri near Juba. Other testimonies in the report, however, point more to the role of organized forces in the killings rather than the so-called private army.</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Article 812 of the Commission of Inquiry report concludes, “The evidence thus suggests that these crimes were committed pursuant to or in furtherance of a State policy. Indeed, the method under which these crimes were committed prove the 'widespread or systematic nature' of the attacks. The evidence also shows that it was an organized military operation that could not have been successful without concerted efforts from various actors in the military and government circles.”</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Professor Mahmood Mamdani, a Member of the AU Commission who authored a separate opinion on the Inquiry report stated, “The targeted violence was organized, not spontaneous. It was directed from a center.”</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War crimes SPLA IO in Bor and Malakal</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AU Commission of Inquiry says that war crimes and atrocities were also committed by rebel forces later in the war: “The Commission believes that war crimes were committed in Bor town through indiscriminate killings of civilians by the SPLA/IO and White Army forces allied to Dr. Riek Machar.”</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Atrocities were also reported to have been committed by Machar's forces or allied forces also in Malakal and outside Malakal in Baliet County where the AU Commission reported “much carnage.” For example, the Commission cited a witness who said that SPLA-IO killed 10 hospital patients in Malakal in January. Female civilians who were sheltering in the hospital at the same time were also abducted by the rebels and have not been seen again.</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“Gang rape was (and continues to be) a common feature of the atrocities committed during the on-going conflict in South Sudan. Women and men as witnesses and survivors have given statements with reference to rapes of women and girls by more than one person... There were reports by respondents on the wide use of objects such as stones, guns and sticks to rape women. In most instances, that was reported as a new and horrifying phenomenon.”</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“There are clear patterns of a vicious cycle of violence within violence developing,” reads the AU report. The African Union report was produced after research by investigators in 2014 but its release was repeatedly delayed by the AU Commission and AU Peace and Security Council for almost a year.</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---https://www.dabangasudan.org/en/all-news/article/au-coordinated-mass-killings-by-kiir-allies-inflamed-civil-war-south-sudan</w:t>
      </w:r>
    </w:p>
    <w:p w:rsidR="00922D38" w:rsidRDefault="00922D38">
      <w:pPr>
        <w:widowControl w:val="0"/>
        <w:autoSpaceDE w:val="0"/>
        <w:autoSpaceDN w:val="0"/>
        <w:adjustRightInd w:val="0"/>
        <w:spacing w:after="0" w:line="240" w:lineRule="auto"/>
        <w:rPr>
          <w:rFonts w:ascii="Times New Roman" w:hAnsi="Times New Roman" w:cs="Times New Roman"/>
          <w:sz w:val="24"/>
          <w:szCs w:val="24"/>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Times New Roman" w:hAnsi="Times New Roman" w:cs="Times New Roman"/>
          <w:sz w:val="24"/>
          <w:szCs w:val="24"/>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Nuclear panic of a warlike world</w:t>
      </w:r>
    </w:p>
    <w:p w:rsidR="00922D38" w:rsidRDefault="00922D38">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Jeremy Corbyn, Labour MP for Islington North</w:t>
      </w:r>
    </w:p>
    <w:p w:rsidR="00922D38" w:rsidRDefault="00922D38">
      <w:pPr>
        <w:widowControl w:val="0"/>
        <w:autoSpaceDE w:val="0"/>
        <w:autoSpaceDN w:val="0"/>
        <w:adjustRightInd w:val="0"/>
        <w:spacing w:after="0" w:line="240" w:lineRule="auto"/>
        <w:rPr>
          <w:rFonts w:ascii="Arial" w:hAnsi="Arial" w:cs="Arial"/>
          <w:sz w:val="12"/>
          <w:szCs w:val="12"/>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can never be any moral justification for holding or developing nuclear weapons.    . . .      One hopes  . . .   that North Korea will   . . .   ultimately take the brave path of South Africa, Argentina, Brazil, Ukraine and Kazakhstan in renouncing all nuclear weapons. Not the path, you note, of the UN security council powers berating them   . . .   We could do no better than to lead by example and not renew Britain’s Trident missile system. Peace leads to peace.      . . .</w:t>
      </w: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
    <w:p w:rsidR="00922D38" w:rsidRDefault="00922D38">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 xml:space="preserve">          { Actually, the reader is well aware that peace leads to becoming a cannibal’s breakfast. }</w:t>
      </w: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attempt to declare an independent Azawad state for the Tuaregs has happened before, and its crushing, often involving massive French infiltration of rebel groups over decades, has led to increasing armed conflict and poverty.</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West’s intervention has made the situation worse in the past, and will do so now. We are seeing the use of expensive surveillance equipment and high-tech weapons against those who claim to fight for a poor and marginalised people.  The motive, as always, is to be found in the vast mineral reserves and resources that can feed the nuclear industries of Europe, particularly France.   . . .</w:t>
      </w: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 Cameron and the Tories want is a   . . .   Europe without any social protections or environmental safeguards.    . . .</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http://jeremycorbyn.org.uk/articles/nuclear-panic-of-a-warlike-world-2/</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Supreme Court Declines to Hear Hedges v. Obama</w:t>
      </w: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April 28, 2014</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We’re very sorry to let you all know that Hedges v. Obama, our lawsuit challenging the egregious assaults of the 2012 NDAA, has been denied. We did our best; we lost.</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Supreme Court has made it abundantly clear, first via Citizens United, then most recently via McCutcheon v. FTC, that corporations are “persons” who’s “free speech” must be protected at all costs – including the cost of democracy – while our rights – the rights of living, breathing people, the fundamental right of due process and our fundamental rights of free speech and association – those no longer matter. They are to be trampled.</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Under the war on terror, the United States government has trampled upon the fundamental human rights of people around the world since 9/11. The Bush administration manufactured a false war based on carefully crafted lies, false evidence and sickening manipulation. In the wake of that war, our courts prefer to continue to defer to a disingenuous national security narrative that has arisen out of the lies, paranoia, and incredible lawbreaking of our own government, including kidnapping, torturing, indefinitely imprisoning, and assassinating people with impunity – all of this against both reason and international law.</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are no longer a nation ruled by laws. We are nation ruled by men who have so steeped themselves in a false narrative that at the same time they are exponentially increasing the ranks of terrorists, they are destroying the rule of law itself. It is madness upon madness – the classic tale of becoming the evil you purport to fight while believing you remain righteous.</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have tried to stand up to this madness: we are outnumbered, outspent, and outgunned – a David intrepidly fighting a Goliath that spans the planet and has the power to shape our “reality” – thus shaping what the courts even see. We have sacrificed greatly to do this – and yet we would do it all again.</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Two years ago the RevolutionTruth team worked with Chris Hedges and our lawyers, Bruce Afran and Carl Mayer, and we brought in plaintiffs Daniel Ellsberg, Birgitta Jonsdottir, Alexa O’Brian, Kai Wargalla, and myself, to attempt to stand up to the 2012 NDAA and its assaults on the first and fifth amendments. Let history show that we tried to reverse this madness. Let history show that a small group of individuals backed by good people from around the world worked very hard to stand up to the United States Government.</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battle is lost but the war is not over. Arab Spring and Occupy showed us that it is possible for millions of people to stand up together, to awaken a shared commitment to a better future. They were a reminder that all things are possible – not just assaults, lies, corruption and the slow devastation wrought on us by the world’s most powerful elites – but a spontaneous rising up, to reclaim our power, our voices and our futures.</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All things ARE possible. Take heart that you stood with us in this case, and against great odds. Take heart that because of you our hashtag ?#?StopNDAA? trended worldwide on Twitter, streaming across millions of television screens during the final presidential debate of 2012, and that because of you, nearly 400 people showed up to a federal courthouse in New York City for a simple hearing. This was YOU, the people, not an abstraction – but you in your flesh and blood showing up – and that was something that court had never before seen.</w:t>
      </w: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Take heart that we have shown one another that great things are possible when we believe in something greater and stand up united behind something larger than ourselves. Take heart that we all tried, for in our shared efforts, we are all changed. We become wiser, stronger, and deeper, even when we are tired. We become more powerful, even when we know anguish and exhaustion and have lost hope that we have any power. We become better people, more equipped for the battles ahead.</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Prepare yourselves, for the battles ahead. We may not yet know what shape they will take, or how are where they will take place. But they WILL indeed take place. And someday, we WILL win.</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http://repeatinghistory.org/2014/04/28/supreme-court-declines-to-hear-hedges-v-obama/</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Presidential Decisionmaking and Vietnam: Lessons for Strategists</w:t>
      </w:r>
    </w:p>
    <w:p w:rsidR="00922D38" w:rsidRDefault="00922D38">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Colonel Joseph R. Cerami, Director of International Security Studies in the Department of National Security and Strategy at the US Army War College    -    Parameters, Winter 1996-97, pp. 66-80</w:t>
      </w:r>
    </w:p>
    <w:p w:rsidR="00922D38" w:rsidRDefault="00922D38">
      <w:pPr>
        <w:widowControl w:val="0"/>
        <w:autoSpaceDE w:val="0"/>
        <w:autoSpaceDN w:val="0"/>
        <w:adjustRightInd w:val="0"/>
        <w:spacing w:after="0" w:line="240" w:lineRule="auto"/>
        <w:rPr>
          <w:rFonts w:ascii="Arial" w:hAnsi="Arial" w:cs="Arial"/>
          <w:sz w:val="12"/>
          <w:szCs w:val="12"/>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Richard Goodwin, a speechwriter for Presidents Kennedy and Johnson, cautions: "History is an enigmatic teacher, a trickster whose only certain lesson is that the future cannot count on the past, and that what has ‘always' been true may become irrevocably false." [Richard N. Goodwin, Remembering America: A Voice From the Sixties (Boston: Little, Brown, 1988), p. 542]   . . .</w:t>
      </w: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From our post-Gulf War perspective, the idea of a one-dimensional analysis of strategic options seems simplistic -- almost absurd. But in the search for answers prior to Assistant Secretary of State Richard Holbrooke's diplomatic initiative, the advocates of bombing as the shortest route to a Bosnian settlement were vocal and certain. Columnists and politicians regularly proposed bombing as the answer, the coercion of choice for resolving the Bosnia conflict. Anthony Lewis, writing in The New York Times, praised the comments of Margaret Thatcher:  “She called for bombing of Serbian forces and supplies in 1991, when the Serbs attacked cities in Croatia. She took the same position when they began their genocide of Muslims in Bosnia. If her advice had been followed in the first place, the aggression would have ended before the Bosnian tragedy.”    . . .</w:t>
      </w: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Contradictory conclusions about the effectiveness of the Bosnian bombing in hastening the peace process continue to distort our strategic learning. In a television interview on the occasion of his departure as Assistant Secretary of State, Holbrooke said: "One of the great things that people should have learned from this is that there are times when air powe r-- not backed up by ground troops -- can make a difference. That's something that our European allies didn't all agree with; Americans were in doubt on it; it made a difference."</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Perhaps. The limited bombings might have made a difference, but who will claim that they brought the Serbs to the negotiating table?</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New York Times columnist A. M. Rosenthal has drawn a different lesson   . . .   : "Americans can learn that the use of air power leads to the use of ground power. Believe that - -not politicians, military men, or journalistic bombardiers who assure you otherwise."    . . .   Did the aggressive use of NATO air power against the Serbs really drive them to the negotiating table, or had war-weariness finally set in?    . . .</w:t>
      </w: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events of the recent past in Bosnia suggest that it is no wiser today than it was in the 1960s to presume that short-term diplomatic efforts, even when coupled with an intensive burst of bombing or other military action, will lead to "solutions"   . . .</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http://strategicstudiesinstitute.army.mil/pubs/parameters/Articles/96winter/cerami.htm</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Targeted Killing as a Strategy of War</w:t>
      </w: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Armin Krishnan</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Eleven years of targeted killings and other ‘neutralisations’ of terrorists has not resulted in any decisive victory in Iraq, Afghanistan, Pakistan or elsewhere. Furthermore, there is even the possibility that continued targeted killings will result increasingly in strategic ‘blowback’ since it encourages radicalisation and nurtures a desire for revenge by those people subjected to constant drone attacks.  In the end, a prolonged targeted killing campaign could very well end up producing more enemies than it can ever eliminate.</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Targeted killing in the form of continuous limited strikes against a relatively small number of enemy combatants is likely to turn out to be a strategic dead end since it creates a serious obstacle to negotiating peace   . . .   It seems unable to deliver decisive results.   . . .</w:t>
      </w: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President Obama decided to escalate the war in Afghanistan and go after the terrorists in Pakistan with drones.   . . .   The Bureau of Investigative Journalists [makes] claims     . . .   </w:t>
      </w: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Al-Qa’ida in particular has undergone very substantial organizational changes since 9/11 that made it much more resilient and enabled it to prosper in some parts of the world.   . . . Al-Qa’ida quickly reconstituted itself in Pakistan and later in Iraq after the misguided invasion and occupation of that country.   . . .    </w:t>
      </w: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Although Gaddafi was technically murdered by Libyan rebels after his surrender, there is now little doubt that NATO’s role in it was greater that it first appeared. [Thomas Harding, ‘Col. Gaddafi Killed: Convoy Bombed by Drone Flown by Pilot in Las Vegas’, The Telegraph, 20 October 2011; Ben Farmer, ‘Gaddafi’s Final Hours: NATO and the SAS Helped Rebels Drive Hunted Leader in an Endgame in a Desert Drain’, The Telegraph, 22 October 2011]</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Libya   . . .  NATO’s removal of Gaddafi combined with the absence of Western ground forces has resulted in political instability and a continuing danger of a resurging civil war. In any case, the collapse of Gaddafi’s regime has tremendously benefited Al-Qa’ida and other radical groups, which now can operate almost unchecked in Libya. These should be important lessons to be learned with respect to the situation in Syria.   . . .   Drones are  . . .  no substitute for ground forces   . . .</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http://killerrobotsblog.com/2013/01/24/targeted-killing-as-a-strategy-of-war/</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Times New Roman" w:hAnsi="Times New Roman" w:cs="Times New Roman"/>
          <w:sz w:val="24"/>
          <w:szCs w:val="24"/>
        </w:rPr>
      </w:pPr>
    </w:p>
    <w:p w:rsidR="00922D38" w:rsidRDefault="00922D38">
      <w:pPr>
        <w:widowControl w:val="0"/>
        <w:autoSpaceDE w:val="0"/>
        <w:autoSpaceDN w:val="0"/>
        <w:adjustRightInd w:val="0"/>
        <w:spacing w:after="0" w:line="240" w:lineRule="auto"/>
        <w:rPr>
          <w:rFonts w:ascii="Times New Roman" w:hAnsi="Times New Roman" w:cs="Times New Roman"/>
          <w:sz w:val="24"/>
          <w:szCs w:val="24"/>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Apple unlock: Judge compares request to execution order</w:t>
      </w:r>
    </w:p>
    <w:p w:rsidR="00922D38" w:rsidRDefault="00922D38">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BBC   -     Oct 27, 2015</w:t>
      </w:r>
    </w:p>
    <w:p w:rsidR="00922D38" w:rsidRDefault="00922D38">
      <w:pPr>
        <w:widowControl w:val="0"/>
        <w:autoSpaceDE w:val="0"/>
        <w:autoSpaceDN w:val="0"/>
        <w:adjustRightInd w:val="0"/>
        <w:spacing w:after="0" w:line="240" w:lineRule="auto"/>
        <w:rPr>
          <w:rFonts w:ascii="Arial" w:hAnsi="Arial" w:cs="Arial"/>
          <w:sz w:val="12"/>
          <w:szCs w:val="12"/>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Department of Justice wants the judge to order Apple to help it unlock an iPhone it has seized. Ordering Apple to access data against its will would be akin to making a reluctant drug company carry out a lethal injection, a US judge has said.</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Judge James Orenstein was hearing a US government request to make it retrieve information from a locked iPhone seized by law enforcement officers. On Monday, the judge expressed doubt that he had the authority to do so.</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Apple has agreed to similar requests previously but is now refusing, saying it would erode customers' trust. Referring to the US Department of Justice's request for him to order Apple to help it unlock the phone, the judge said: "What you're asking [[Apple]] to do is do work for you." </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he compared the request to a hypothetical one in which the government was asking him to order a drug company to take part in an execution against its conscientious objection.  . . .</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Apple   . . .  said it lacked the technical ability to unlock phones running its newer operating systems, iOS8 and iOS9, though the phone at issue in the case runs an older system.   . . .</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http://www.bbc.com/news/technology-34647704</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During the early years of the Iraq War, George W. Bush drew attention to the ways in which American presidents try to “sell” war to the public. The “Mission Accomplished” banner in 2003 and the misleading linkages of Saddam Hussein to the 9/11 terrorist attacks awoke many Americans to the techniques used by the White House to put the country on a war footing. Yet Bush was simply following in the footsteps of his predecessors, as the essays in this standout volume reveal in illuminating detail.</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impressive collection assembles original contributions from some of the most preeminent American diplomatic historians working today. It also features the last written reflections of the late Pulitzer Prize–winning journalist David Halbertsam, whose early work covering the war in Vietnam made him an enemy of presidents Kennedy and Johnson.</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Written in a lively and accessible qwert, Selling War in a Media Age is a fascinating, thought-provoking, must-read volume that reveals the often brutal ways that the goal of influencing public opinion has shaped how American presidents have approached the most momentous duty of their office: waging war.</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ISBN 978-0-8130-3466-9 | Hardcover $44.95</w:t>
      </w: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The Inaugural Volume in the Alan B. Larkin Series on the American Presidency</w:t>
      </w: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Selling War in a Media Age</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Presidency and Public Opinion in the American Century</w:t>
      </w: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Edited by Kenneth Osgood and Andrew K. Frank</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“American history at its best — insightful and revealing about the past, yet at the same time illuminating the vital questions of our own day.” — Jeffrey A. Engel, Texas A&amp;M University</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excellent book is required reading for anyone interested in how American presidents have tried to sell war.” — Steven Casey, author of Selling the Korean War</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deeply penetrating and instructive volume. Osgood and Frank have assembled a stellar cast of scholars to address a topic of critical interpretive importance: how U.S. presidents over the past century have sought to manipulate public opinion in support of America’s wars. The conclusions are sobering — for our understanding of the past and the implications for tomorrow.” — Fredrik Logevall, Cornell University</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http://www.fau.edu/larkin/pdf/selling_war_in_a_media_age_flyer.pdf</w:t>
      </w:r>
    </w:p>
    <w:p w:rsidR="00922D38" w:rsidRDefault="00922D3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Lawyer Likely To Receive $3M From Holocaust Settlement</w:t>
      </w: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Joseph Goldstein   -    New York Sun   -   March 16, 2007</w:t>
      </w:r>
    </w:p>
    <w:p w:rsidR="00922D38" w:rsidRDefault="00922D38">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http://www.thestar.com/News/article/192605</w:t>
      </w:r>
    </w:p>
    <w:p w:rsidR="00922D38" w:rsidRDefault="00922D38">
      <w:pPr>
        <w:widowControl w:val="0"/>
        <w:autoSpaceDE w:val="0"/>
        <w:autoSpaceDN w:val="0"/>
        <w:adjustRightInd w:val="0"/>
        <w:spacing w:after="0" w:line="240" w:lineRule="auto"/>
        <w:rPr>
          <w:rFonts w:ascii="Arial" w:hAnsi="Arial" w:cs="Arial"/>
          <w:sz w:val="12"/>
          <w:szCs w:val="12"/>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a decision yesterday, a federal magistrate judge wrote that Mr. Neuborne has "done exemplary work to help achieve the historic righting of a terrible wrong," and he recommended that Mr. Neuborne receive $3.1 million for nearly 7,000 hours of work over a period of seven years. The decision by the magistrate judge, James Orenstein, requires approval from a federal district judge.</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Neuborne, a leading civil rights attorney, was one of several lawyers who sued Swiss banks in the mid-1990s, accusing them of plundering the accounts of Hitler´s victims. He has since played a leading role in distributing the $1.25 billion settlement with the Swiss banks to nearly 400,000 victims of Nazi Germany. Mr. Neuborne had pledged that he would litigate the lawsuits pro bono.</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question is whether he remained pro bono after the 1999 settlement, when Mr. Neuborne was appointed by a judge to help distribute the settlement to Swiss bank holders, slave laborers, and other victims across the globe. Magistrate Judge Orenstein chided Mr. Neuborne for failing to make it clearer to survivors that he expected to be paid for the post-settlement work.</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Still, the magistrate judge wrote, that while possible, it was unlikely "that a casual observer of Neuborne´s statements over the years could have mistakenly concluded that Neuborne had explicitly foreclosed the possibility that he would seek compensation" for his post-settlement work. "To be sure, Neuborne cannot escape criticism for the murkiness of such statements," Magistrate Judge Orenstein wrote.</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"You know what, where he criticized me he was right," Mr. Neuborne told The New York Sun yesterday of the magistrate judge´s decision. "I´ve said to myself, ‘How could I have been so sloppy?´ I have paid for that sloppiness with people who have accused me of lying."</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ruling drew an angry reaction from survivors who have opposed Mr. Neuborne´s fee request. "It is making me sick to hear that he is getting that much money," a survivor of Dachau, Fred Taucher, 74, of Everett, Wash., said in a telephone interview yesterday "That could go to several survivors who are not getting their medications. He made us all believe that he was doing this pro bono."   . . .</w:t>
      </w: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 American survivors have been disappointed with the distribution of the Swiss banks settlement. They say too much money was allotted to Holocaust survivors in the former Soviet Union and not enough to survivors in Israel and America.</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Indeed, it is the controversy over distribution "that has caused years of strife among certain of the class members and their lawyers," Magistrate Judge Orenstein wrote at the beginning of his 104-page decision.    . . .</w:t>
      </w:r>
    </w:p>
    <w:p w:rsidR="00922D38" w:rsidRDefault="00922D3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4"/>
          <w:szCs w:val="24"/>
        </w:rPr>
        <w:t xml:space="preserve"> </w:t>
      </w:r>
    </w:p>
    <w:p w:rsidR="00922D38" w:rsidRDefault="00922D3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http://www.unitedjerusalem.org/index2.asp?id=891551&amp;Date=4/14/2007</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Low-level federal judges balking at law enforcement requests for electronic evidence</w:t>
      </w: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Ann Marimow, Craig Timberg    -    Washington Post    -     April 24, 2014</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Judges at the lowest levels of the federal judiciary are balking at sweeping requests by law enforcement officials for cellphone and other sensitive personal data, declaring the demands overly broad and at odds with basic constitutional rights.</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rising assertiveness by magistrate judges -- the worker bees of the federal court system -- has produced rulings that elate civil libertarians and frustrate investigators, forcing them to meet or challenge tighter rules for collecting electronic evidence. </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Among the most aggressive opinions have come from DC Magistrate Judge John Facciola, a bow-tied court veteran who in recent months has blocked wide-ranging access to the Facebook page of Navy Yard shooter Aaron Alexis and the iPhone of the Georgetown University student accused of making ricin in his dorm room. </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another case, he deemed a law enforcement request for the entire contents of an e-mail account “repugnant” to the US Constitution. For these and other cases, Judge Facciola has demanded more focused searches and insisted that authorities delete collected data that prove unrelated to a current investigation rather than keep them on file for unspecified future use. He also has taken the unusual step, for a magistrate judge, of issuing a series of formal, written opinions that detail his concerns, even about previously secret government investigations.   . . .</w:t>
      </w: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16"/>
          <w:szCs w:val="16"/>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Justice Department  . . .    filed an appeal that called Facciola’s approach to searching e-mail contrary to the rulings of other courts and said that it would be impractical to have employees of a private company, instead of trained government investigators, searching for evidence.</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attorney for the District of Columbia has appealed at least two of Facciola’s</w:t>
      </w: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recent decisions in filings that remain under seal.   . . .    In the leak investigation involving Fox News reporter James Rosen, for instance, Facciola ruled that the government was obligated to notify the reporter that his Gmail account was the target of a warrant. U.S. District Judge Royce C. Lamberth reversed Facciola. The warrant was served on Google, the service provider, and Lamberth said the government had no obligation to notify Rosen.</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Other magistrates who set a high threshold for collecting digital evidence have been overruled on appeal or have seen their rulings modified. Magistrate Judge Lisa Pupo Lenihan, based in Pittsburgh, sided with Smith and Orenstein in requiring a search warrant before cellphone location data was turned over to police. The court’s other magistrate judges signed on as well.</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a federal appeals court overruled Lenihan in a 2010 decision that allowed magistrates to require probable cause only “sparingly,” in cases that clearly merit it. That left the standard — along with many issues involving what digital evidence the government can collect and how — a patchwork across the country that attorneys sometimes struggle to navigate.</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decisions are getting to be increasingly inconsistent,” said Marc Zwillinger, founder of ZwillGen, a Washington-based law firm that has major tech companies as clients. “It places a provider in a difficult position, accepting an order from a judge in one district that a judge in another district would find unconstitutional.”</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https://www.benton.org/node/181824</w:t>
      </w:r>
    </w:p>
    <w:p w:rsidR="00922D38" w:rsidRDefault="00922D3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---http://stanford.edu/~jmayer/law696/week7/Washington%20Post%20on%20Magistrates.pdf</w:t>
      </w:r>
    </w:p>
    <w:p w:rsidR="00922D38" w:rsidRDefault="00922D3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Bruce Haig does more damage to Tamils in Sri Lanka by helping the LTTE</w:t>
      </w: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Raj Gonsalkorale   -    Asian Tribune   -    WIAS Vol. 12 No. 1250     -    Nov. 8, 2011</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[Former diplomat] Bruce Haig and those who are known LTTE sympathizers like Justice John Dowd, appear to be spearheading an international move to de list the LTTE as a banned organization in 32 countries. They wish people to believe that the LTTE is something of the past, and that crimes they committed inside the country are really not crimes.</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John Dowd and several hundred Tamils from Sydney and adjoining counties participated in an event held at the Ryde Civic Center in Sydney Sunday 02 October 2005 in support of the Tamil Resurgence events being held by fellow Tamils in the North and East. The event was organized by the Australasian Federation of Tamil Associations (AFTA), an umbrella organization of Tamil groups in the region.</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event addressed by John Dowd had a large than life size cut out of terrorist leader Prabakaran   . . .</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---http://www.asiantribune.com/news/2011/11/07/bruce-haig-does-more-damage-tamils-sri-lanka-helping-ltte</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American schools prepare children for the day when China will be the world’s greatest super power</w:t>
      </w: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Scrapbookpages Blog   -    Sept. 4, 2011</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1800s in the USA, there were “German schools” in Missouri and Wisconsin which taught elementary school classes in both German and English.  This was at a time when many households in America spoke only German and students entered kindergarten knowing only German, which was the language spoken at home.  During World War I, there were many American soldiers who spoke fluent German, which they had learned at home.  By the time that America was fighting Germany in World War II, there was still one in four Americans who could speak German.  This came in handy when America occupied Germany.  As a result of years of occupation, the German people now speak English better than most Americans.</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Meanwhile, young people in China are learning American culture.  They are being introduced to Harry Potter, American junk food, and Anne Frank.    . . .   Where will it all end?  I don’t know, but I’m making friends with as many Chinese-Americans as I can.  As for language, I’m still trying to learn German.</w:t>
      </w:r>
    </w:p>
    <w:p w:rsidR="00922D38" w:rsidRDefault="00922D38">
      <w:pPr>
        <w:widowControl w:val="0"/>
        <w:autoSpaceDE w:val="0"/>
        <w:autoSpaceDN w:val="0"/>
        <w:adjustRightInd w:val="0"/>
        <w:spacing w:after="0" w:line="240" w:lineRule="auto"/>
        <w:rPr>
          <w:rFonts w:ascii="Times New Roman" w:hAnsi="Times New Roman" w:cs="Times New Roman"/>
          <w:sz w:val="24"/>
          <w:szCs w:val="24"/>
        </w:rPr>
      </w:pPr>
    </w:p>
    <w:p w:rsidR="00922D38" w:rsidRDefault="00922D38">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---https://furtherglory.wordpress.com/2011/09/04/american-schools-prepare-children-for-the-day-when-china-will-be-the-worlds-greatest-super-power/</w:t>
      </w: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Arial" w:hAnsi="Arial" w:cs="Arial"/>
          <w:sz w:val="20"/>
          <w:szCs w:val="20"/>
        </w:rPr>
      </w:pPr>
    </w:p>
    <w:p w:rsidR="00922D38" w:rsidRDefault="00922D38">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922D38" w:rsidRDefault="00922D38">
      <w:pPr>
        <w:widowControl w:val="0"/>
        <w:autoSpaceDE w:val="0"/>
        <w:autoSpaceDN w:val="0"/>
        <w:adjustRightInd w:val="0"/>
        <w:spacing w:after="0" w:line="240" w:lineRule="auto"/>
        <w:rPr>
          <w:rFonts w:ascii="Times New Roman" w:hAnsi="Times New Roman" w:cs="Times New Roman"/>
          <w:sz w:val="34"/>
          <w:szCs w:val="34"/>
        </w:rPr>
      </w:pPr>
    </w:p>
    <w:p w:rsidR="00922D38" w:rsidRDefault="00922D3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922D38" w:rsidSect="00922D38">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2D38" w:rsidRDefault="00922D38" w:rsidP="00922D38">
      <w:pPr>
        <w:spacing w:after="0" w:line="240" w:lineRule="auto"/>
      </w:pPr>
      <w:r>
        <w:separator/>
      </w:r>
    </w:p>
  </w:endnote>
  <w:endnote w:type="continuationSeparator" w:id="0">
    <w:p w:rsidR="00922D38" w:rsidRDefault="00922D38" w:rsidP="00922D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D38" w:rsidRDefault="00922D38">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2D38" w:rsidRDefault="00922D38" w:rsidP="00922D38">
      <w:pPr>
        <w:spacing w:after="0" w:line="240" w:lineRule="auto"/>
      </w:pPr>
      <w:r>
        <w:separator/>
      </w:r>
    </w:p>
  </w:footnote>
  <w:footnote w:type="continuationSeparator" w:id="0">
    <w:p w:rsidR="00922D38" w:rsidRDefault="00922D38" w:rsidP="00922D38">
      <w:pPr>
        <w:spacing w:after="0" w:line="240" w:lineRule="auto"/>
      </w:pPr>
      <w:r>
        <w:continuationSeparator/>
      </w:r>
    </w:p>
  </w:footnote>
  <w:footnote w:id="1">
    <w:p w:rsidR="00922D38" w:rsidRDefault="00922D38">
      <w:pPr>
        <w:widowControl w:val="0"/>
        <w:autoSpaceDE w:val="0"/>
        <w:autoSpaceDN w:val="0"/>
        <w:adjustRightInd w:val="0"/>
        <w:spacing w:after="0" w:line="240" w:lineRule="auto"/>
        <w:ind w:left="432"/>
        <w:rPr>
          <w:rFonts w:ascii="Times New Roman" w:hAnsi="Times New Roman" w:cs="Times New Roman"/>
          <w:sz w:val="20"/>
          <w:szCs w:val="20"/>
        </w:rPr>
      </w:pPr>
      <w:r w:rsidRPr="00715EAC">
        <w:rPr>
          <w:rStyle w:val="FootnoteReference"/>
        </w:rPr>
        <w:footnoteRef/>
      </w:r>
      <w:r>
        <w:rPr>
          <w:rFonts w:ascii="Times New Roman" w:hAnsi="Times New Roman" w:cs="Times New Roman"/>
          <w:sz w:val="20"/>
          <w:szCs w:val="20"/>
        </w:rPr>
        <w:t xml:space="preserve">   Note that the figure, given about 1948 is somewhat suspicious.</w:t>
      </w:r>
    </w:p>
  </w:footnote>
  <w:footnote w:id="2">
    <w:p w:rsidR="00922D38" w:rsidRDefault="00922D38">
      <w:pPr>
        <w:widowControl w:val="0"/>
        <w:autoSpaceDE w:val="0"/>
        <w:autoSpaceDN w:val="0"/>
        <w:adjustRightInd w:val="0"/>
        <w:spacing w:after="0" w:line="240" w:lineRule="auto"/>
        <w:ind w:left="432"/>
        <w:rPr>
          <w:rFonts w:ascii="Times New Roman" w:hAnsi="Times New Roman" w:cs="Times New Roman"/>
          <w:sz w:val="20"/>
          <w:szCs w:val="20"/>
        </w:rPr>
      </w:pPr>
      <w:r w:rsidRPr="00715EAC">
        <w:rPr>
          <w:rStyle w:val="FootnoteReference"/>
        </w:rPr>
        <w:footnoteRef/>
      </w:r>
      <w:r>
        <w:rPr>
          <w:rFonts w:ascii="Times New Roman" w:hAnsi="Times New Roman" w:cs="Times New Roman"/>
          <w:sz w:val="20"/>
          <w:szCs w:val="20"/>
        </w:rPr>
        <w:t xml:space="preserve">   Note that this is a reference to “The Prince” by Machiavelli.</w:t>
      </w:r>
    </w:p>
  </w:footnote>
  <w:footnote w:id="3">
    <w:p w:rsidR="00922D38" w:rsidRDefault="00922D38">
      <w:pPr>
        <w:widowControl w:val="0"/>
        <w:autoSpaceDE w:val="0"/>
        <w:autoSpaceDN w:val="0"/>
        <w:adjustRightInd w:val="0"/>
        <w:spacing w:after="0" w:line="240" w:lineRule="auto"/>
        <w:ind w:left="432"/>
        <w:rPr>
          <w:rFonts w:ascii="Times New Roman" w:hAnsi="Times New Roman" w:cs="Times New Roman"/>
          <w:sz w:val="20"/>
          <w:szCs w:val="20"/>
        </w:rPr>
      </w:pPr>
      <w:r w:rsidRPr="00715EAC">
        <w:rPr>
          <w:rStyle w:val="FootnoteReference"/>
        </w:rPr>
        <w:footnoteRef/>
      </w:r>
      <w:r>
        <w:rPr>
          <w:rFonts w:ascii="Times New Roman" w:hAnsi="Times New Roman" w:cs="Times New Roman"/>
          <w:sz w:val="20"/>
          <w:szCs w:val="20"/>
        </w:rPr>
        <w:t xml:space="preserve">   By this time it should be clear to most of you who and what George F. Kennan really was, and who and what was behind him.  It should be obvious that such people pose a clear and present danger to global security and that steps should be taken to make sure that the chance that such people might rise to positions of responsibility is made as small as possible.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D38" w:rsidRDefault="00922D38">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2D38"/>
    <w:rsid w:val="00715EAC"/>
    <w:rsid w:val="00922D3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715EAC"/>
    <w:rPr>
      <w:vertAlign w:val="superscript"/>
    </w:rPr>
  </w:style>
  <w:style w:type="character" w:styleId="FootnoteReference">
    <w:name w:val="footnote reference"/>
    <w:basedOn w:val="DefaultParagraphFont"/>
    <w:uiPriority w:val="99"/>
    <w:semiHidden/>
    <w:unhideWhenUsed/>
    <w:rsid w:val="00715EAC"/>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7263</Words>
  <Characters>41400</Characters>
  <Application>Microsoft Office Word</Application>
  <DocSecurity>4</DocSecurity>
  <Lines>345</Lines>
  <Paragraphs>97</Paragraphs>
  <ScaleCrop>false</ScaleCrop>
  <Company/>
  <LinksUpToDate>false</LinksUpToDate>
  <CharactersWithSpaces>48566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2016-05-16T14:54:00Z</dcterms:created>
  <dcterms:modified xsi:type="dcterms:W3CDTF">2016-05-16T14:54:00Z</dcterms:modified>
</cp:coreProperties>
</file>